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8147" w14:textId="77777777" w:rsidR="00A600F9" w:rsidRPr="00EE426C" w:rsidRDefault="00A600F9" w:rsidP="00A600F9">
      <w:pPr>
        <w:pStyle w:val="papertitle"/>
      </w:pPr>
      <w:r>
        <w:t xml:space="preserve">Contribution Title </w:t>
      </w:r>
      <w:r w:rsidRPr="00D91CED">
        <w:rPr>
          <w:highlight w:val="green"/>
        </w:rPr>
        <w:t>(14pt bold, times new roman, capitalize each word) (28pt = 2 lines spacing below)</w:t>
      </w:r>
    </w:p>
    <w:p w14:paraId="399C4B7F" w14:textId="77777777" w:rsidR="00A600F9" w:rsidRPr="00EE426C" w:rsidRDefault="00A600F9" w:rsidP="00A600F9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14:paraId="3C0924A6" w14:textId="77777777" w:rsidR="00A600F9" w:rsidRPr="00EE426C" w:rsidRDefault="00A600F9" w:rsidP="00A600F9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>
        <w:t>Kyushu</w:t>
      </w:r>
      <w:r w:rsidRPr="00EE426C">
        <w:t xml:space="preserve"> University, </w:t>
      </w:r>
      <w:r>
        <w:t>Fukuoka</w:t>
      </w:r>
      <w:r w:rsidRPr="00EE426C">
        <w:t xml:space="preserve"> </w:t>
      </w:r>
      <w:r>
        <w:t>819-0395</w:t>
      </w:r>
      <w:r w:rsidRPr="00EE426C">
        <w:t xml:space="preserve">, </w:t>
      </w:r>
      <w:r>
        <w:t>Japan</w:t>
      </w:r>
    </w:p>
    <w:p w14:paraId="45CFC228" w14:textId="77777777" w:rsidR="00A600F9" w:rsidRPr="006809AE" w:rsidRDefault="00A600F9" w:rsidP="00A600F9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>
        <w:t>Cambridge</w:t>
      </w:r>
      <w:r w:rsidRPr="006809AE">
        <w:t xml:space="preserve"> </w:t>
      </w:r>
      <w:r>
        <w:t>University</w:t>
      </w:r>
      <w:r w:rsidRPr="006809AE">
        <w:t xml:space="preserve">, </w:t>
      </w:r>
      <w:r w:rsidRPr="00AB42D8">
        <w:t>Cambridge</w:t>
      </w:r>
      <w:r w:rsidRPr="006809AE">
        <w:t xml:space="preserve"> </w:t>
      </w:r>
      <w:r>
        <w:t>CB3 0EF</w:t>
      </w:r>
      <w:r w:rsidRPr="006809AE">
        <w:t xml:space="preserve">, </w:t>
      </w:r>
      <w:r>
        <w:t>UK</w:t>
      </w:r>
      <w:r w:rsidRPr="006809AE">
        <w:br/>
      </w:r>
      <w:r w:rsidRPr="00AB42D8">
        <w:rPr>
          <w:rStyle w:val="e-mail"/>
        </w:rPr>
        <w:t>*correspondingauthor@email.com</w:t>
      </w:r>
    </w:p>
    <w:p w14:paraId="4E5847CE" w14:textId="77777777" w:rsidR="00A600F9" w:rsidRPr="00EE426C" w:rsidRDefault="00A600F9" w:rsidP="00A600F9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2BC78A6C" w14:textId="77777777" w:rsidR="00A600F9" w:rsidRDefault="00A600F9" w:rsidP="00A600F9">
      <w:pPr>
        <w:pStyle w:val="heading1"/>
        <w:spacing w:before="240" w:after="120"/>
      </w:pPr>
      <w:r>
        <w:t>First Section</w:t>
      </w:r>
    </w:p>
    <w:p w14:paraId="211609E2" w14:textId="77777777" w:rsidR="00A600F9" w:rsidRPr="006809AE" w:rsidRDefault="00A600F9" w:rsidP="00A600F9">
      <w:pPr>
        <w:pStyle w:val="heading2"/>
        <w:spacing w:before="0" w:after="120"/>
      </w:pPr>
      <w:r>
        <w:t>A Subsection</w:t>
      </w:r>
      <w:r w:rsidRPr="003E3370">
        <w:t xml:space="preserve"> </w:t>
      </w:r>
      <w:r>
        <w:t>Sample</w:t>
      </w:r>
    </w:p>
    <w:p w14:paraId="6585E2DD" w14:textId="77777777" w:rsidR="00A600F9" w:rsidRDefault="00A600F9" w:rsidP="00A600F9">
      <w:pPr>
        <w:pStyle w:val="p1a"/>
        <w:rPr>
          <w:b/>
          <w:bCs/>
        </w:rPr>
      </w:pPr>
      <w:r w:rsidRPr="00307D2A">
        <w:t>The authors are suggested to structure the extended abstract in specific sections such as</w:t>
      </w:r>
      <w:r w:rsidRPr="00307D2A">
        <w:rPr>
          <w:b/>
          <w:bCs/>
        </w:rPr>
        <w:t xml:space="preserve"> Introduction, Methodology, Results</w:t>
      </w:r>
      <w:r>
        <w:rPr>
          <w:b/>
          <w:bCs/>
        </w:rPr>
        <w:t xml:space="preserve"> and discussions</w:t>
      </w:r>
      <w:r w:rsidRPr="00307D2A">
        <w:rPr>
          <w:b/>
          <w:bCs/>
        </w:rPr>
        <w:t>, Conclusion</w:t>
      </w:r>
      <w:r>
        <w:rPr>
          <w:b/>
          <w:bCs/>
        </w:rPr>
        <w:t>,</w:t>
      </w:r>
      <w:r w:rsidRPr="00307D2A">
        <w:rPr>
          <w:b/>
          <w:bCs/>
        </w:rPr>
        <w:t xml:space="preserve"> Acknowledgement</w:t>
      </w:r>
      <w:r>
        <w:rPr>
          <w:b/>
          <w:bCs/>
        </w:rPr>
        <w:t xml:space="preserve"> and References</w:t>
      </w:r>
      <w:r w:rsidRPr="00307D2A">
        <w:rPr>
          <w:b/>
          <w:bCs/>
        </w:rPr>
        <w:t xml:space="preserve">. </w:t>
      </w:r>
    </w:p>
    <w:p w14:paraId="5C5D283A" w14:textId="77777777" w:rsidR="00A600F9" w:rsidRPr="00C52685" w:rsidRDefault="00A600F9" w:rsidP="00A600F9">
      <w:pPr>
        <w:ind w:firstLine="0"/>
      </w:pPr>
      <w:r>
        <w:t xml:space="preserve">The extended abstract should be of </w:t>
      </w:r>
      <w:r w:rsidRPr="00C52685">
        <w:rPr>
          <w:b/>
          <w:bCs/>
        </w:rPr>
        <w:t>maximum 4 pages</w:t>
      </w:r>
      <w:r>
        <w:t>. The contents of extended abstract and full paper can be similar.</w:t>
      </w:r>
    </w:p>
    <w:p w14:paraId="7CDD2124" w14:textId="77777777" w:rsidR="00A600F9" w:rsidRPr="00EE426C" w:rsidRDefault="00A600F9" w:rsidP="00A600F9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A4D6DBF" w14:textId="77777777" w:rsidR="00A600F9" w:rsidRDefault="00A600F9" w:rsidP="00A600F9">
      <w:pPr>
        <w:ind w:firstLine="0"/>
      </w:pPr>
      <w:r>
        <w:t>Subsequent paragraphs, however, are indented.</w:t>
      </w:r>
    </w:p>
    <w:p w14:paraId="1778020B" w14:textId="77777777" w:rsidR="00A600F9" w:rsidRDefault="00A600F9" w:rsidP="00A600F9">
      <w:pPr>
        <w:ind w:firstLine="0"/>
      </w:pPr>
      <w:r w:rsidRPr="00D91CED">
        <w:t xml:space="preserve">The authors are suggested to prepare their extended abstract which shall be submitted in PDF format along with the Word format to the symposium manuscript submission system through the </w:t>
      </w:r>
      <w:r>
        <w:t>submission portal.</w:t>
      </w:r>
    </w:p>
    <w:p w14:paraId="71F328AC" w14:textId="77777777" w:rsidR="00A600F9" w:rsidRDefault="00A600F9" w:rsidP="00A600F9">
      <w:pPr>
        <w:ind w:firstLine="0"/>
      </w:pPr>
      <w:r w:rsidRPr="00D91CED">
        <w:t xml:space="preserve">Including the figures, tables, and references, the extended abstract must have a length of four pages. </w:t>
      </w:r>
    </w:p>
    <w:p w14:paraId="186C5608" w14:textId="77777777" w:rsidR="00A600F9" w:rsidRDefault="00A600F9" w:rsidP="00A600F9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0F2D3B03" w14:textId="77777777" w:rsidR="00A600F9" w:rsidRDefault="00A600F9" w:rsidP="00A600F9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553DAE37" w14:textId="77777777" w:rsidR="00A600F9" w:rsidRDefault="00A600F9" w:rsidP="00A600F9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061"/>
      </w:tblGrid>
      <w:tr w:rsidR="00A600F9" w:rsidRPr="00A4057C" w14:paraId="765C6638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3A5162C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 w:rsidRPr="00B527BC">
              <w:rPr>
                <w:rFonts w:hint="eastAsia"/>
                <w:sz w:val="18"/>
                <w:lang w:eastAsia="ja-JP"/>
              </w:rPr>
              <w:t>Test ID</w:t>
            </w:r>
          </w:p>
        </w:tc>
        <w:tc>
          <w:tcPr>
            <w:tcW w:w="1276" w:type="dxa"/>
            <w:shd w:val="clear" w:color="auto" w:fill="auto"/>
          </w:tcPr>
          <w:p w14:paraId="5F481EC0" w14:textId="77777777" w:rsidR="00A600F9" w:rsidRPr="005E26D9" w:rsidRDefault="00A600F9" w:rsidP="00A05C5B">
            <w:pPr>
              <w:pStyle w:val="NormalWCCM"/>
              <w:ind w:left="720" w:hanging="72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Temp. </w:t>
            </w:r>
            <w:r w:rsidRPr="00D51F44">
              <w:rPr>
                <w:rFonts w:hint="eastAsia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ºC</w:t>
            </w:r>
            <w:r w:rsidRPr="00D51F44">
              <w:rPr>
                <w:rFonts w:hint="eastAsia"/>
                <w:sz w:val="18"/>
                <w:lang w:eastAsia="ja-JP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CD08224" w14:textId="77777777" w:rsidR="00A600F9" w:rsidRPr="009D283B" w:rsidRDefault="00A600F9" w:rsidP="00A05C5B">
            <w:pPr>
              <w:pStyle w:val="NormalWCCM"/>
              <w:ind w:right="306" w:firstLine="0"/>
              <w:jc w:val="lef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Particle size</w:t>
            </w:r>
            <w:r w:rsidRPr="009D283B">
              <w:rPr>
                <w:rFonts w:hint="eastAsia"/>
                <w:sz w:val="18"/>
                <w:lang w:eastAsia="ja-JP"/>
              </w:rPr>
              <w:t xml:space="preserve"> (</w:t>
            </w:r>
            <w:r>
              <w:rPr>
                <w:sz w:val="18"/>
                <w:lang w:eastAsia="ja-JP"/>
              </w:rPr>
              <w:t>µ</w:t>
            </w:r>
            <w:r w:rsidRPr="009D283B">
              <w:rPr>
                <w:rFonts w:hint="eastAsia"/>
                <w:sz w:val="18"/>
                <w:lang w:eastAsia="ja-JP"/>
              </w:rPr>
              <w:t>m)</w:t>
            </w:r>
          </w:p>
        </w:tc>
        <w:tc>
          <w:tcPr>
            <w:tcW w:w="1061" w:type="dxa"/>
            <w:shd w:val="clear" w:color="auto" w:fill="auto"/>
          </w:tcPr>
          <w:p w14:paraId="161D897B" w14:textId="77777777" w:rsidR="00A600F9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Porosity</w:t>
            </w:r>
            <w:r w:rsidRPr="00A4057C">
              <w:rPr>
                <w:rFonts w:hint="eastAsia"/>
                <w:sz w:val="18"/>
                <w:lang w:eastAsia="ja-JP"/>
              </w:rPr>
              <w:t xml:space="preserve"> </w:t>
            </w:r>
          </w:p>
          <w:p w14:paraId="062FE477" w14:textId="77777777" w:rsidR="00A600F9" w:rsidRPr="00A4057C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(%</w:t>
            </w:r>
            <w:r w:rsidRPr="00A4057C">
              <w:rPr>
                <w:rFonts w:hint="eastAsia"/>
                <w:sz w:val="18"/>
                <w:lang w:eastAsia="ja-JP"/>
              </w:rPr>
              <w:t>)</w:t>
            </w:r>
          </w:p>
        </w:tc>
      </w:tr>
      <w:tr w:rsidR="00A600F9" w:rsidRPr="00A4057C" w14:paraId="2B0035E5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51CA6D0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14:paraId="5DC4802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6761CC2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0C3A1339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35</w:t>
            </w:r>
          </w:p>
        </w:tc>
      </w:tr>
      <w:tr w:rsidR="00A600F9" w:rsidRPr="00A4057C" w14:paraId="0DD60D87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422050E8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14:paraId="6CCCAF64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03718AB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35E42E6E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  <w:tr w:rsidR="00A600F9" w:rsidRPr="00A4057C" w14:paraId="70B85095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67D1A62B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0E0AD5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665D344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3B66C5A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35</w:t>
            </w:r>
          </w:p>
        </w:tc>
      </w:tr>
      <w:tr w:rsidR="00A600F9" w:rsidRPr="00A4057C" w14:paraId="13101B45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69F84C94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59EABB2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632DB503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6B861CEA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  <w:tr w:rsidR="00A600F9" w:rsidRPr="00A4057C" w14:paraId="0DE665E7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6BF2ED05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17BD98B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75585BB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56F847C6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35</w:t>
            </w:r>
          </w:p>
        </w:tc>
      </w:tr>
      <w:tr w:rsidR="00A600F9" w:rsidRPr="00A4057C" w14:paraId="0A711B14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5AE002C4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ED70DB7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B3610A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6428C096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  <w:tr w:rsidR="00A600F9" w:rsidRPr="00A4057C" w14:paraId="6DB3B946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302886EA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DCC7EC6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9283B82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277FD24E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35</w:t>
            </w:r>
          </w:p>
        </w:tc>
      </w:tr>
      <w:tr w:rsidR="00A600F9" w:rsidRPr="00A4057C" w14:paraId="1C22EB75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22D7A273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57FDE88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5588EF8E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015B06D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  <w:tr w:rsidR="00A600F9" w:rsidRPr="00A4057C" w14:paraId="1093AC50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02AFB09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915471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055E79C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6AA32A1E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35</w:t>
            </w:r>
          </w:p>
        </w:tc>
      </w:tr>
      <w:tr w:rsidR="00A600F9" w:rsidRPr="00A4057C" w14:paraId="1376DFEE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0C4627F9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A7823B1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6DFE2BE4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4AE6CDED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  <w:tr w:rsidR="00A600F9" w:rsidRPr="00A4057C" w14:paraId="1F488DF8" w14:textId="77777777" w:rsidTr="00A05C5B">
        <w:trPr>
          <w:jc w:val="center"/>
        </w:trPr>
        <w:tc>
          <w:tcPr>
            <w:tcW w:w="1134" w:type="dxa"/>
            <w:shd w:val="clear" w:color="auto" w:fill="auto"/>
          </w:tcPr>
          <w:p w14:paraId="52797757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Soil</w:t>
            </w:r>
            <w:r w:rsidRPr="00B527BC"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8E42232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030086A0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  <w:r w:rsidRPr="00B527BC">
              <w:rPr>
                <w:rFonts w:hint="eastAsia"/>
                <w:sz w:val="18"/>
                <w:lang w:eastAsia="ja-JP"/>
              </w:rPr>
              <w:t>.</w:t>
            </w: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14:paraId="46394CEA" w14:textId="77777777" w:rsidR="00A600F9" w:rsidRPr="00E74B5D" w:rsidRDefault="00A600F9" w:rsidP="00A05C5B">
            <w:pPr>
              <w:pStyle w:val="NormalWCCM"/>
              <w:ind w:firstLine="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</w:tr>
    </w:tbl>
    <w:p w14:paraId="3D7B2F39" w14:textId="77777777" w:rsidR="00A600F9" w:rsidRDefault="00A600F9" w:rsidP="00A600F9">
      <w:pPr>
        <w:spacing w:before="240"/>
        <w:ind w:firstLine="0"/>
      </w:pPr>
      <w:r>
        <w:t xml:space="preserve">Displayed equations are centered and set on a separate line. </w:t>
      </w:r>
    </w:p>
    <w:p w14:paraId="39CF662A" w14:textId="77777777" w:rsidR="00A600F9" w:rsidRDefault="00A600F9" w:rsidP="00A600F9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648F2588" w14:textId="77777777" w:rsidR="00A600F9" w:rsidRDefault="00A600F9" w:rsidP="00A600F9">
      <w:pPr>
        <w:spacing w:before="360"/>
        <w:ind w:firstLine="0"/>
        <w:rPr>
          <w:noProof/>
          <w:lang w:val="de-DE" w:eastAsia="de-DE"/>
        </w:rPr>
      </w:pPr>
      <w:r w:rsidRPr="00E761A2">
        <w:rPr>
          <w:rStyle w:val="heading40"/>
          <w:i w:val="0"/>
          <w:iCs/>
        </w:rPr>
        <w:lastRenderedPageBreak/>
        <w:t>All figures should be numbered consecutively following “Fig.” and captioned. The caption title should be</w:t>
      </w:r>
      <w:r>
        <w:rPr>
          <w:rStyle w:val="heading40"/>
          <w:i w:val="0"/>
          <w:iCs/>
        </w:rPr>
        <w:t xml:space="preserve"> </w:t>
      </w:r>
      <w:r w:rsidRPr="00E761A2">
        <w:rPr>
          <w:rStyle w:val="heading40"/>
          <w:i w:val="0"/>
          <w:iCs/>
        </w:rPr>
        <w:t>left aligned, in 9pt Times New Roman. A 6pt space should separate the figure from the caption, and a</w:t>
      </w:r>
      <w:r w:rsidRPr="00E761A2">
        <w:t xml:space="preserve"> 12pt space should separate the upper part of the figure and the bottom of the caption from the surrounding text.</w:t>
      </w:r>
    </w:p>
    <w:p w14:paraId="629FCF29" w14:textId="37C78AAD" w:rsidR="00A600F9" w:rsidRPr="00EE1BBB" w:rsidRDefault="00A600F9" w:rsidP="00A600F9">
      <w:pPr>
        <w:spacing w:before="360"/>
        <w:ind w:left="227" w:hanging="227"/>
      </w:pPr>
      <w:r w:rsidRPr="00DF483F">
        <w:rPr>
          <w:noProof/>
        </w:rPr>
        <w:drawing>
          <wp:inline distT="0" distB="0" distL="0" distR="0" wp14:anchorId="319E675F" wp14:editId="7D04AF57">
            <wp:extent cx="5426075" cy="145796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424B" w14:textId="77777777" w:rsidR="00A600F9" w:rsidRDefault="00A600F9" w:rsidP="00A600F9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218B0E64" w14:textId="77777777" w:rsidR="00A600F9" w:rsidRPr="00F55A71" w:rsidRDefault="00A600F9" w:rsidP="00A600F9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6EB3CF51" w14:textId="77777777" w:rsidR="00A600F9" w:rsidRDefault="00A600F9" w:rsidP="00A600F9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03255116" w14:textId="77777777" w:rsidR="00A600F9" w:rsidRDefault="00A600F9" w:rsidP="00A600F9">
      <w:pPr>
        <w:pStyle w:val="referenceitem"/>
      </w:pPr>
      <w:r>
        <w:t>Author, F.: Article title. Journal 2(5), 99–110 (2016).</w:t>
      </w:r>
    </w:p>
    <w:p w14:paraId="49A479CE" w14:textId="77777777" w:rsidR="00A600F9" w:rsidRDefault="00A600F9" w:rsidP="00A600F9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45E1B23F" w14:textId="77777777" w:rsidR="00A600F9" w:rsidRDefault="00A600F9" w:rsidP="00A600F9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7E8006A1" w14:textId="77777777" w:rsidR="00A600F9" w:rsidRDefault="00A600F9" w:rsidP="00A600F9">
      <w:pPr>
        <w:pStyle w:val="referenceitem"/>
      </w:pPr>
      <w:r>
        <w:t>Author, F.: Contribution title. In: 9th International Proceedings on Proceedings, pp. 1–2. Publisher, Location (2010).</w:t>
      </w:r>
    </w:p>
    <w:p w14:paraId="108B5656" w14:textId="77777777" w:rsidR="00A600F9" w:rsidRPr="00606587" w:rsidRDefault="00A600F9" w:rsidP="00A600F9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0F05603A" w14:textId="77777777" w:rsidR="001B6932" w:rsidRDefault="001B6932"/>
    <w:sectPr w:rsidR="001B6932" w:rsidSect="00A600F9">
      <w:headerReference w:type="even" r:id="rId9"/>
      <w:headerReference w:type="default" r:id="rId10"/>
      <w:pgSz w:w="12240" w:h="15840"/>
      <w:pgMar w:top="1440" w:right="1440" w:bottom="1440" w:left="1800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5E00" w14:textId="77777777" w:rsidR="00450703" w:rsidRDefault="00450703" w:rsidP="00A600F9">
      <w:pPr>
        <w:spacing w:line="240" w:lineRule="auto"/>
      </w:pPr>
      <w:r>
        <w:separator/>
      </w:r>
    </w:p>
  </w:endnote>
  <w:endnote w:type="continuationSeparator" w:id="0">
    <w:p w14:paraId="0D6C96FF" w14:textId="77777777" w:rsidR="00450703" w:rsidRDefault="00450703" w:rsidP="00A6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832A" w14:textId="77777777" w:rsidR="00450703" w:rsidRDefault="00450703" w:rsidP="00A600F9">
      <w:pPr>
        <w:spacing w:line="240" w:lineRule="auto"/>
      </w:pPr>
      <w:r>
        <w:separator/>
      </w:r>
    </w:p>
  </w:footnote>
  <w:footnote w:type="continuationSeparator" w:id="0">
    <w:p w14:paraId="1B3F573A" w14:textId="77777777" w:rsidR="00450703" w:rsidRDefault="00450703" w:rsidP="00A60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E6E2" w14:textId="5B109E03" w:rsidR="00A600F9" w:rsidRPr="00A600F9" w:rsidRDefault="00A600F9">
    <w:pPr>
      <w:pStyle w:val="Header"/>
      <w:rPr>
        <w:i/>
        <w:iCs/>
        <w:sz w:val="18"/>
        <w:szCs w:val="18"/>
      </w:rPr>
    </w:pPr>
    <w:r w:rsidRPr="00A600F9">
      <w:rPr>
        <w:i/>
        <w:iCs/>
        <w:sz w:val="18"/>
        <w:szCs w:val="18"/>
      </w:rPr>
      <w:t>Paper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9D8D" w14:textId="77777777" w:rsidR="00A600F9" w:rsidRPr="00A600F9" w:rsidRDefault="00A600F9" w:rsidP="00A600F9">
    <w:pPr>
      <w:pStyle w:val="Header"/>
      <w:jc w:val="right"/>
      <w:rPr>
        <w:sz w:val="18"/>
        <w:szCs w:val="18"/>
      </w:rPr>
    </w:pPr>
    <w:r w:rsidRPr="00A600F9">
      <w:rPr>
        <w:sz w:val="18"/>
        <w:szCs w:val="18"/>
      </w:rPr>
      <w:t>2</w:t>
    </w:r>
    <w:r w:rsidRPr="00A600F9">
      <w:rPr>
        <w:sz w:val="18"/>
        <w:szCs w:val="18"/>
        <w:vertAlign w:val="superscript"/>
      </w:rPr>
      <w:t>nd</w:t>
    </w:r>
    <w:r w:rsidRPr="00A600F9">
      <w:rPr>
        <w:sz w:val="18"/>
        <w:szCs w:val="18"/>
      </w:rPr>
      <w:t xml:space="preserve"> International Conference on Construction Resources for Environmentally Sustainable Technologies</w:t>
    </w:r>
  </w:p>
  <w:p w14:paraId="530C1824" w14:textId="77777777" w:rsidR="00A600F9" w:rsidRPr="00A600F9" w:rsidRDefault="00A600F9" w:rsidP="00A600F9">
    <w:pPr>
      <w:pStyle w:val="Header"/>
      <w:jc w:val="right"/>
      <w:rPr>
        <w:i/>
        <w:iCs/>
        <w:sz w:val="18"/>
        <w:szCs w:val="18"/>
      </w:rPr>
    </w:pPr>
    <w:r w:rsidRPr="00A600F9">
      <w:rPr>
        <w:i/>
        <w:iCs/>
        <w:sz w:val="18"/>
        <w:szCs w:val="18"/>
      </w:rPr>
      <w:t xml:space="preserve"> Fukuoka, Japan| November 20-22, 2023</w:t>
    </w:r>
  </w:p>
  <w:p w14:paraId="675221EE" w14:textId="77777777" w:rsidR="00A600F9" w:rsidRDefault="00A6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7"/>
    <w:rsid w:val="001B6932"/>
    <w:rsid w:val="00450703"/>
    <w:rsid w:val="00480427"/>
    <w:rsid w:val="00A600F9"/>
    <w:rsid w:val="00E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3412"/>
  <w15:chartTrackingRefBased/>
  <w15:docId w15:val="{50503CEA-52E5-47B5-822B-D096C93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F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00F9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00F9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00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F9"/>
  </w:style>
  <w:style w:type="paragraph" w:styleId="Footer">
    <w:name w:val="footer"/>
    <w:basedOn w:val="Normal"/>
    <w:link w:val="FooterChar"/>
    <w:uiPriority w:val="99"/>
    <w:unhideWhenUsed/>
    <w:rsid w:val="00A600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F9"/>
  </w:style>
  <w:style w:type="character" w:customStyle="1" w:styleId="Heading3Char">
    <w:name w:val="Heading 3 Char"/>
    <w:basedOn w:val="DefaultParagraphFont"/>
    <w:link w:val="Heading3"/>
    <w:rsid w:val="00A600F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600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dress">
    <w:name w:val="address"/>
    <w:basedOn w:val="Normal"/>
    <w:rsid w:val="00A600F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A600F9"/>
    <w:pPr>
      <w:spacing w:after="200" w:line="220" w:lineRule="atLeast"/>
      <w:ind w:firstLine="0"/>
      <w:jc w:val="center"/>
    </w:pPr>
  </w:style>
  <w:style w:type="character" w:customStyle="1" w:styleId="e-mail">
    <w:name w:val="e-mail"/>
    <w:rsid w:val="00A600F9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A600F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A600F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A600F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A600F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rsid w:val="00A600F9"/>
    <w:rPr>
      <w:b/>
    </w:rPr>
  </w:style>
  <w:style w:type="character" w:customStyle="1" w:styleId="heading40">
    <w:name w:val="heading4"/>
    <w:rsid w:val="00A600F9"/>
    <w:rPr>
      <w:i/>
    </w:rPr>
  </w:style>
  <w:style w:type="numbering" w:customStyle="1" w:styleId="headings">
    <w:name w:val="headings"/>
    <w:basedOn w:val="NoList"/>
    <w:rsid w:val="00A600F9"/>
    <w:pPr>
      <w:numPr>
        <w:numId w:val="1"/>
      </w:numPr>
    </w:pPr>
  </w:style>
  <w:style w:type="character" w:styleId="Hyperlink">
    <w:name w:val="Hyperlink"/>
    <w:semiHidden/>
    <w:unhideWhenUsed/>
    <w:rsid w:val="00A600F9"/>
    <w:rPr>
      <w:color w:val="auto"/>
      <w:u w:val="none"/>
    </w:rPr>
  </w:style>
  <w:style w:type="paragraph" w:customStyle="1" w:styleId="keywords">
    <w:name w:val="keywords"/>
    <w:basedOn w:val="Normal"/>
    <w:next w:val="heading1"/>
    <w:rsid w:val="00A600F9"/>
    <w:pPr>
      <w:spacing w:before="220" w:after="360" w:line="220" w:lineRule="atLeast"/>
      <w:ind w:left="567" w:right="567" w:firstLine="0"/>
      <w:jc w:val="left"/>
    </w:pPr>
    <w:rPr>
      <w:sz w:val="18"/>
    </w:rPr>
  </w:style>
  <w:style w:type="paragraph" w:customStyle="1" w:styleId="p1a">
    <w:name w:val="p1a"/>
    <w:basedOn w:val="Normal"/>
    <w:next w:val="Normal"/>
    <w:rsid w:val="00A600F9"/>
    <w:pPr>
      <w:ind w:firstLine="0"/>
    </w:pPr>
  </w:style>
  <w:style w:type="paragraph" w:customStyle="1" w:styleId="referenceitem">
    <w:name w:val="referenceitem"/>
    <w:basedOn w:val="Normal"/>
    <w:rsid w:val="00A600F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A600F9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A600F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A600F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customStyle="1" w:styleId="NormalWCCM">
    <w:name w:val="Normal WCCM"/>
    <w:rsid w:val="00A600F9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MS Mincho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DIVYESH ROHIT</dc:creator>
  <cp:keywords/>
  <dc:description/>
  <cp:lastModifiedBy>DIVYESH ROHIT</cp:lastModifiedBy>
  <cp:revision>2</cp:revision>
  <dcterms:created xsi:type="dcterms:W3CDTF">2022-07-26T01:56:00Z</dcterms:created>
  <dcterms:modified xsi:type="dcterms:W3CDTF">2022-07-26T01:56:00Z</dcterms:modified>
</cp:coreProperties>
</file>